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1EC6" w14:textId="4134A281" w:rsidR="009518E0" w:rsidRPr="00B266B0" w:rsidRDefault="009518E0" w:rsidP="009518E0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17e-bis</w:t>
      </w:r>
      <w:r w:rsidRPr="00B266B0">
        <w:rPr>
          <w:bCs/>
          <w:noProof w:val="0"/>
          <w:sz w:val="24"/>
          <w:szCs w:val="24"/>
        </w:rPr>
        <w:tab/>
      </w:r>
      <w:r w:rsidR="00990501" w:rsidRPr="00990501">
        <w:rPr>
          <w:bCs/>
          <w:noProof w:val="0"/>
          <w:sz w:val="24"/>
          <w:szCs w:val="24"/>
        </w:rPr>
        <w:t>R3-225751</w:t>
      </w:r>
    </w:p>
    <w:p w14:paraId="78DA58E2" w14:textId="77777777" w:rsidR="009518E0" w:rsidRPr="00B1063A" w:rsidRDefault="009518E0" w:rsidP="009518E0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>
        <w:rPr>
          <w:rFonts w:cs="Arial"/>
          <w:sz w:val="24"/>
          <w:szCs w:val="24"/>
        </w:rPr>
        <w:t>10</w:t>
      </w:r>
      <w:r w:rsidRPr="006B36A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18 Oct</w:t>
      </w:r>
      <w:r w:rsidRPr="000804F0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2C37F98E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</w:t>
      </w:r>
      <w:r w:rsidR="007121C5">
        <w:rPr>
          <w:rFonts w:cs="Arial"/>
          <w:b/>
          <w:bCs/>
          <w:sz w:val="24"/>
          <w:lang w:val="en-US" w:eastAsia="ja-JP"/>
        </w:rPr>
        <w:t>1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64CA309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on </w:t>
      </w:r>
      <w:r w:rsidR="008F7BA6">
        <w:rPr>
          <w:rFonts w:ascii="Arial" w:hAnsi="Arial" w:cs="Arial"/>
          <w:b/>
          <w:bCs/>
          <w:sz w:val="24"/>
        </w:rPr>
        <w:t xml:space="preserve">LS of </w:t>
      </w:r>
      <w:r w:rsidR="008F7BA6" w:rsidRPr="008F7BA6">
        <w:rPr>
          <w:rFonts w:ascii="Arial" w:hAnsi="Arial" w:cs="Arial"/>
          <w:b/>
          <w:bCs/>
          <w:sz w:val="24"/>
        </w:rPr>
        <w:t>FS_VMR solutions review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D34D90B" w14:textId="00BA0FBF" w:rsidR="00D90D48" w:rsidRPr="00570E70" w:rsidRDefault="00CD4C7B" w:rsidP="00570E70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15A2CA5" w14:textId="6010FE04" w:rsidR="00073043" w:rsidRDefault="007121C5" w:rsidP="00073043">
      <w:pPr>
        <w:spacing w:after="0"/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t xml:space="preserve"> SA2’</w:t>
      </w:r>
      <w:r>
        <w:rPr>
          <w:rFonts w:hint="eastAsia"/>
          <w:lang w:eastAsia="zh-CN"/>
        </w:rPr>
        <w:t>s</w:t>
      </w:r>
      <w:r>
        <w:t xml:space="preserve"> LS [1]</w:t>
      </w:r>
      <w:r w:rsidR="009A081F">
        <w:t>, the following questions asked by SA2.</w:t>
      </w:r>
    </w:p>
    <w:p w14:paraId="7B6F581B" w14:textId="77777777" w:rsidR="00073043" w:rsidRDefault="00073043" w:rsidP="00073043">
      <w:pPr>
        <w:spacing w:after="0"/>
      </w:pPr>
    </w:p>
    <w:p w14:paraId="580D24AB" w14:textId="62C38996" w:rsidR="00AA672B" w:rsidRDefault="00AA672B" w:rsidP="00AA672B">
      <w:pPr>
        <w:pStyle w:val="B1"/>
      </w:pPr>
      <w:r>
        <w:t>-</w:t>
      </w:r>
      <w:r>
        <w:tab/>
        <w:t xml:space="preserve">With regard to Key Issue#1 (as defined in clause 5.1), SA2 would like to understand the necessary parameters for the operation of a Mobile Base Station Relay (MBSR), i.e. the mobile-IAB node. Would these parameters only be provided by OAM servers, or would additional parameters be required, including in roaming cases. </w:t>
      </w:r>
    </w:p>
    <w:p w14:paraId="6E516D62" w14:textId="02822FAA" w:rsidR="00AA672B" w:rsidRPr="00AA672B" w:rsidRDefault="00AA672B" w:rsidP="00AA672B">
      <w:pPr>
        <w:pStyle w:val="B1"/>
      </w:pPr>
      <w:r>
        <w:t>-</w:t>
      </w:r>
      <w:r>
        <w:tab/>
        <w:t>With regard to Key Issue#3 (as defined in clause 5.3), SA2 would like to understand if the</w:t>
      </w:r>
      <w:r w:rsidRPr="00F3267D">
        <w:t xml:space="preserve"> </w:t>
      </w:r>
      <w:r>
        <w:t xml:space="preserve">MBSR, i.e. mobile-IAB node, would keep the same TAC, and Cell ID, when it changes serving donor </w:t>
      </w:r>
      <w:proofErr w:type="spellStart"/>
      <w:r>
        <w:t>gNB</w:t>
      </w:r>
      <w:proofErr w:type="spellEnd"/>
      <w:r>
        <w:t>. SA2 has documented different solutions based on different options and needs RAN2 and RAN3 feedbacks for down selection.</w:t>
      </w:r>
    </w:p>
    <w:p w14:paraId="33177B41" w14:textId="576B3D03" w:rsidR="00AA672B" w:rsidRDefault="00AA672B" w:rsidP="00AA672B">
      <w:pPr>
        <w:pStyle w:val="B1"/>
      </w:pPr>
      <w:r>
        <w:t>-</w:t>
      </w:r>
      <w:r>
        <w:tab/>
        <w:t xml:space="preserve">Also, with regard to Key Issue#3, SA2 would like to understand details of the inter-IAB donor </w:t>
      </w:r>
      <w:proofErr w:type="spellStart"/>
      <w:r>
        <w:t>gNB</w:t>
      </w:r>
      <w:proofErr w:type="spellEnd"/>
      <w:r>
        <w:t xml:space="preserve"> mobility procedure for a MBSR, e.g. the feasibility of supporting NGAP messages containing multiple UE information during the handover procedure. </w:t>
      </w:r>
    </w:p>
    <w:p w14:paraId="4B09F9E4" w14:textId="48107508" w:rsidR="00AA672B" w:rsidRDefault="00AA672B" w:rsidP="00AA672B">
      <w:pPr>
        <w:pStyle w:val="B1"/>
      </w:pPr>
      <w:r>
        <w:t>-</w:t>
      </w:r>
      <w:r>
        <w:tab/>
        <w:t xml:space="preserve">With regard to Key Issue#4 (as defined in clause 5.4), SA2 would like to understand if IAB-node integration procedure or inter-IAB-donor </w:t>
      </w:r>
      <w:proofErr w:type="spellStart"/>
      <w:r>
        <w:t>gNB</w:t>
      </w:r>
      <w:proofErr w:type="spellEnd"/>
      <w:r>
        <w:t xml:space="preserve"> mobility procedure, or both, can be used for MBSR to integrate into the VPLMN. </w:t>
      </w:r>
      <w:r>
        <w:tab/>
      </w:r>
    </w:p>
    <w:p w14:paraId="17122EFD" w14:textId="3A6695B0" w:rsidR="00AA672B" w:rsidRDefault="00AA672B" w:rsidP="00AA672B">
      <w:pPr>
        <w:pStyle w:val="B1"/>
      </w:pPr>
      <w:r>
        <w:t>-</w:t>
      </w:r>
      <w:r>
        <w:tab/>
        <w:t xml:space="preserve">With regard to Key Issue#5 (as defined in clause 5.5), is it feasible for the IAB-donor </w:t>
      </w:r>
      <w:proofErr w:type="spellStart"/>
      <w:r>
        <w:t>gNB</w:t>
      </w:r>
      <w:proofErr w:type="spellEnd"/>
      <w:r>
        <w:t xml:space="preserve"> to identify that a UE is served by a MBSR (e.g. indicate TRP is mobile and the reference point is a MBSR/mobile). </w:t>
      </w:r>
    </w:p>
    <w:p w14:paraId="6F6ABE42" w14:textId="0C895C5A" w:rsidR="00AA672B" w:rsidRDefault="00AA672B" w:rsidP="00AA672B">
      <w:pPr>
        <w:pStyle w:val="B1"/>
      </w:pPr>
      <w:r>
        <w:t>-</w:t>
      </w:r>
      <w:r>
        <w:tab/>
        <w:t xml:space="preserve">Additionally, with regard to Key Issue#5, would </w:t>
      </w:r>
      <w:proofErr w:type="spellStart"/>
      <w:r>
        <w:t>NRPPa</w:t>
      </w:r>
      <w:proofErr w:type="spellEnd"/>
      <w:r>
        <w:t xml:space="preserve"> procedure for TRP location query be used by an LMF to obtain the MBSR location information? </w:t>
      </w:r>
      <w:r>
        <w:tab/>
      </w:r>
    </w:p>
    <w:p w14:paraId="1350E9C0" w14:textId="3EF16DD3" w:rsidR="00B6745D" w:rsidRPr="00AA672B" w:rsidRDefault="00AA672B" w:rsidP="00AA672B">
      <w:pPr>
        <w:pStyle w:val="B1"/>
      </w:pPr>
      <w:r>
        <w:t>-</w:t>
      </w:r>
      <w:r>
        <w:tab/>
        <w:t xml:space="preserve">With regard to Key Issue#6 (as defined in clause 5.6), is it feasible for the IAB-donor </w:t>
      </w:r>
      <w:proofErr w:type="spellStart"/>
      <w:r>
        <w:t>gNB</w:t>
      </w:r>
      <w:proofErr w:type="spellEnd"/>
      <w:r>
        <w:t xml:space="preserve"> to provide an additional ULI (e.g. TAI/NG CGI information) for the MBSR to the AMF of the UE served by the MBSR, over NGAP together with the existing ULI for the UE?</w:t>
      </w:r>
    </w:p>
    <w:p w14:paraId="25A956D2" w14:textId="16C9759F" w:rsidR="00A8557C" w:rsidRPr="00B6745D" w:rsidRDefault="00A8557C" w:rsidP="00CD4C7B">
      <w:r>
        <w:t xml:space="preserve">In this contribution, </w:t>
      </w:r>
      <w:r w:rsidR="00DD41D3">
        <w:t xml:space="preserve">we’d like to </w:t>
      </w:r>
      <w:r w:rsidR="00882197">
        <w:t xml:space="preserve">discuss </w:t>
      </w:r>
      <w:r w:rsidR="00AA672B">
        <w:t>the questions from SA2 and provide our understanding on the questions.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577F9485" w14:textId="27AF8BFD" w:rsidR="00DB4619" w:rsidRPr="00862240" w:rsidRDefault="00A31288" w:rsidP="00862240">
      <w:pPr>
        <w:pStyle w:val="2"/>
      </w:pPr>
      <w:bookmarkStart w:id="2" w:name="_Hlk109747344"/>
      <w:r>
        <w:t>2.1</w:t>
      </w:r>
      <w:r>
        <w:tab/>
      </w:r>
      <w:r w:rsidR="000E3730">
        <w:t>Issue 1</w:t>
      </w:r>
      <w:r w:rsidR="000E3730" w:rsidRPr="000E3730">
        <w:t xml:space="preserve"> Mobile </w:t>
      </w:r>
      <w:r w:rsidR="000E3730">
        <w:t>IAB</w:t>
      </w:r>
      <w:r w:rsidR="000E3730" w:rsidRPr="000E3730">
        <w:t xml:space="preserve"> configuration </w:t>
      </w:r>
    </w:p>
    <w:p w14:paraId="5471A3D5" w14:textId="5D43BC9F" w:rsidR="00DB4619" w:rsidRDefault="00DB4619" w:rsidP="00DB4619">
      <w:pPr>
        <w:pStyle w:val="B1"/>
      </w:pPr>
      <w:r>
        <w:t>-</w:t>
      </w:r>
      <w:r>
        <w:tab/>
        <w:t xml:space="preserve">With regard to Key Issue#1 (as defined in clause 5.1), SA2 would like to understand the necessary parameters for the operation of a Mobile Base Station Relay (MBSR), i.e. the mobile-IAB node. Would these parameters only be provided by OAM servers, or would additional parameters be required, including in roaming cases. </w:t>
      </w:r>
    </w:p>
    <w:p w14:paraId="715A0029" w14:textId="3DA1E8A5" w:rsidR="00B22A1F" w:rsidRPr="00AA672B" w:rsidRDefault="00AA672B" w:rsidP="00702EF4">
      <w:pPr>
        <w:pStyle w:val="B1"/>
        <w:ind w:left="0" w:firstLine="0"/>
        <w:rPr>
          <w:b/>
        </w:rPr>
      </w:pPr>
      <w:r>
        <w:t>In TR</w:t>
      </w:r>
      <w:r w:rsidRPr="00702EF4">
        <w:t xml:space="preserve"> 23.700-05</w:t>
      </w:r>
      <w:r>
        <w:t xml:space="preserve"> [2], </w:t>
      </w:r>
      <w:r w:rsidR="00B22A1F" w:rsidRPr="00702EF4">
        <w:t>Solution 10</w:t>
      </w:r>
      <w:r w:rsidR="00DC74C1">
        <w:t xml:space="preserve"> for KI#1</w:t>
      </w:r>
      <w:r w:rsidR="00B22A1F" w:rsidRPr="00702EF4">
        <w:t xml:space="preserve"> states that the IAB-node should be identifiable as mobile IAB-node, which had been discussed in last RAN3 meeting and had the following agreement:</w:t>
      </w:r>
    </w:p>
    <w:p w14:paraId="4FA3B995" w14:textId="77777777" w:rsidR="00B22A1F" w:rsidRPr="00E76A64" w:rsidRDefault="00B22A1F" w:rsidP="00B22A1F">
      <w:pPr>
        <w:pStyle w:val="a9"/>
        <w:overflowPunct w:val="0"/>
        <w:autoSpaceDE w:val="0"/>
        <w:autoSpaceDN w:val="0"/>
        <w:adjustRightInd w:val="0"/>
        <w:spacing w:before="100" w:beforeAutospacing="1" w:after="180"/>
        <w:ind w:leftChars="0" w:left="720"/>
        <w:contextualSpacing/>
        <w:jc w:val="left"/>
        <w:textAlignment w:val="baseline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  <w:r w:rsidRPr="00E76A64">
        <w:rPr>
          <w:rFonts w:ascii="Calibri" w:hAnsi="Calibri" w:cs="Calibri"/>
          <w:b/>
          <w:color w:val="008000"/>
          <w:sz w:val="18"/>
          <w:szCs w:val="18"/>
          <w:lang w:eastAsia="en-US"/>
        </w:rPr>
        <w:t xml:space="preserve">The donor CU should know that the IAB node is “mobile”. </w:t>
      </w:r>
    </w:p>
    <w:p w14:paraId="29650C44" w14:textId="10945320" w:rsidR="00B22A1F" w:rsidRPr="00702EF4" w:rsidRDefault="00DC74C1" w:rsidP="00702EF4">
      <w:pPr>
        <w:pStyle w:val="B1"/>
        <w:ind w:left="0" w:firstLine="0"/>
        <w:rPr>
          <w:lang w:val="en-US"/>
        </w:rPr>
      </w:pPr>
      <w:r>
        <w:lastRenderedPageBreak/>
        <w:t xml:space="preserve">It seems that </w:t>
      </w:r>
      <w:r w:rsidR="00702EF4" w:rsidRPr="00702EF4">
        <w:t xml:space="preserve">RAN3 agreement is aligned with the RAN impact of solution 10, but </w:t>
      </w:r>
      <w:r w:rsidR="00B22A1F" w:rsidRPr="00702EF4">
        <w:t xml:space="preserve">RAN3 </w:t>
      </w:r>
      <w:r w:rsidR="00702EF4" w:rsidRPr="00702EF4">
        <w:t>need</w:t>
      </w:r>
      <w:r w:rsidR="00B22A1F" w:rsidRPr="00702EF4">
        <w:t xml:space="preserve"> further discuss how the donor</w:t>
      </w:r>
      <w:r w:rsidR="00F42AA0" w:rsidRPr="00702EF4">
        <w:t>-CU</w:t>
      </w:r>
      <w:r w:rsidR="00B22A1F" w:rsidRPr="00702EF4">
        <w:t xml:space="preserve"> know that the IAB-node is “</w:t>
      </w:r>
      <w:r w:rsidR="00F42AA0" w:rsidRPr="00702EF4">
        <w:t>mobile</w:t>
      </w:r>
      <w:r w:rsidR="00B22A1F" w:rsidRPr="00702EF4">
        <w:t>”</w:t>
      </w:r>
      <w:r w:rsidR="00F42AA0" w:rsidRPr="00702EF4">
        <w:t>, RAN3</w:t>
      </w:r>
      <w:r w:rsidR="00570E70">
        <w:t xml:space="preserve"> </w:t>
      </w:r>
      <w:r w:rsidR="00F42AA0" w:rsidRPr="00702EF4">
        <w:t>can continue the discussion in AI 14.3, and reply SA2 with the latest agreements.</w:t>
      </w:r>
    </w:p>
    <w:p w14:paraId="105D77D4" w14:textId="22632C75" w:rsidR="00702EF4" w:rsidRPr="00702EF4" w:rsidRDefault="00702EF4" w:rsidP="00702EF4">
      <w:pPr>
        <w:pStyle w:val="B1"/>
        <w:ind w:left="0" w:firstLine="0"/>
        <w:rPr>
          <w:b/>
        </w:rPr>
      </w:pPr>
      <w:r w:rsidRPr="00702EF4">
        <w:rPr>
          <w:b/>
        </w:rPr>
        <w:t>Observation</w:t>
      </w:r>
      <w:r>
        <w:rPr>
          <w:b/>
        </w:rPr>
        <w:t xml:space="preserve"> </w:t>
      </w:r>
      <w:r w:rsidR="00DC74C1">
        <w:rPr>
          <w:b/>
        </w:rPr>
        <w:t>1</w:t>
      </w:r>
      <w:r w:rsidRPr="00702EF4">
        <w:rPr>
          <w:b/>
        </w:rPr>
        <w:t>, IAB-node should be identifiable as mobile IAB-node.</w:t>
      </w:r>
    </w:p>
    <w:p w14:paraId="75DACFCC" w14:textId="02319158" w:rsidR="00702EF4" w:rsidRDefault="00702EF4" w:rsidP="00702EF4">
      <w:pPr>
        <w:pStyle w:val="B1"/>
        <w:ind w:left="0" w:firstLine="0"/>
        <w:rPr>
          <w:b/>
        </w:rPr>
      </w:pPr>
      <w:r w:rsidRPr="00702EF4">
        <w:rPr>
          <w:b/>
        </w:rPr>
        <w:t xml:space="preserve">Proposal </w:t>
      </w:r>
      <w:r w:rsidR="00DC74C1">
        <w:rPr>
          <w:b/>
        </w:rPr>
        <w:t>1</w:t>
      </w:r>
      <w:r w:rsidRPr="00702EF4">
        <w:rPr>
          <w:b/>
        </w:rPr>
        <w:t xml:space="preserve">, RAN3 reply SA2 IAB-donor-CU can know that the IAB-node is “mobile” and means to identify mobile IAB-node depends on RAN3 discussion. </w:t>
      </w:r>
    </w:p>
    <w:p w14:paraId="68503203" w14:textId="7B5B56C1" w:rsidR="00702EF4" w:rsidRPr="00702EF4" w:rsidRDefault="00702EF4" w:rsidP="00702EF4">
      <w:pPr>
        <w:pStyle w:val="B1"/>
        <w:ind w:left="0" w:firstLine="0"/>
      </w:pPr>
      <w:r w:rsidRPr="00702EF4">
        <w:t xml:space="preserve">In addition, </w:t>
      </w:r>
      <w:r>
        <w:t>as RAN3 is discussing how to identify onboard UEs, which may also have SA2 impact, we think RAN3 can notify SA2 about the discussion progress if any</w:t>
      </w:r>
      <w:r w:rsidR="00570E70">
        <w:t xml:space="preserve"> impact on SA2</w:t>
      </w:r>
      <w:r>
        <w:t>.</w:t>
      </w:r>
    </w:p>
    <w:p w14:paraId="07CE18F8" w14:textId="557D6FB0" w:rsidR="00A30B98" w:rsidRPr="004118FB" w:rsidRDefault="006C39C2" w:rsidP="00A30B98">
      <w:pPr>
        <w:pStyle w:val="B1"/>
        <w:ind w:left="0" w:firstLine="0"/>
        <w:rPr>
          <w:b/>
        </w:rPr>
      </w:pPr>
      <w:r w:rsidRPr="006C39C2">
        <w:rPr>
          <w:b/>
        </w:rPr>
        <w:t>Proposal</w:t>
      </w:r>
      <w:r w:rsidR="00DC74C1">
        <w:rPr>
          <w:b/>
        </w:rPr>
        <w:t xml:space="preserve"> 2</w:t>
      </w:r>
      <w:r w:rsidRPr="006C39C2">
        <w:rPr>
          <w:b/>
        </w:rPr>
        <w:t>, RAN3 inform SA2 the discussion of how to identify onboard UEs if any</w:t>
      </w:r>
      <w:r w:rsidR="00750847">
        <w:rPr>
          <w:b/>
        </w:rPr>
        <w:t xml:space="preserve"> progress or SA2 impact</w:t>
      </w:r>
      <w:r w:rsidRPr="006C39C2">
        <w:rPr>
          <w:b/>
        </w:rPr>
        <w:t>.</w:t>
      </w:r>
    </w:p>
    <w:p w14:paraId="3536E05B" w14:textId="5CDF9117" w:rsidR="00A31288" w:rsidRDefault="00A31288" w:rsidP="00F42AA0">
      <w:pPr>
        <w:pStyle w:val="2"/>
      </w:pPr>
      <w:r>
        <w:t>2.2</w:t>
      </w:r>
      <w:r>
        <w:tab/>
      </w:r>
      <w:r w:rsidR="00F42AA0">
        <w:t>Issue 3</w:t>
      </w:r>
      <w:r w:rsidR="00F42AA0" w:rsidRPr="000E3730">
        <w:t xml:space="preserve"> </w:t>
      </w:r>
      <w:r w:rsidR="00750847">
        <w:rPr>
          <w:lang w:eastAsia="ko-KR"/>
        </w:rPr>
        <w:t>E</w:t>
      </w:r>
      <w:r w:rsidR="00750847" w:rsidRPr="005B7872">
        <w:rPr>
          <w:lang w:eastAsia="ko-KR"/>
        </w:rPr>
        <w:t>fficient mobility and service continuity</w:t>
      </w:r>
    </w:p>
    <w:p w14:paraId="346791BC" w14:textId="39D8E01F" w:rsidR="00F42AA0" w:rsidRDefault="00F42AA0" w:rsidP="00F42AA0">
      <w:pPr>
        <w:pStyle w:val="B1"/>
      </w:pPr>
      <w:r>
        <w:t>-</w:t>
      </w:r>
      <w:r>
        <w:tab/>
        <w:t>With regard to Key Issue#3 (as defined in clause 5.3), SA2 would like to understand if the</w:t>
      </w:r>
      <w:r w:rsidRPr="00F3267D">
        <w:t xml:space="preserve"> </w:t>
      </w:r>
      <w:r>
        <w:t xml:space="preserve">MBSR, i.e. mobile-IAB node, would keep the same TAC, and Cell ID, when it changes serving donor </w:t>
      </w:r>
      <w:proofErr w:type="spellStart"/>
      <w:r>
        <w:t>gNB</w:t>
      </w:r>
      <w:proofErr w:type="spellEnd"/>
      <w:r>
        <w:t>. SA2 has documented different solutions based on different options and needs RAN2 and RAN3 feedbacks for down selection.</w:t>
      </w:r>
    </w:p>
    <w:p w14:paraId="501AE997" w14:textId="568BD2FB" w:rsidR="00DC74C1" w:rsidRDefault="00DC74C1" w:rsidP="00DC74C1">
      <w:pPr>
        <w:pStyle w:val="B1"/>
      </w:pPr>
      <w:r>
        <w:t>-</w:t>
      </w:r>
      <w:r>
        <w:tab/>
        <w:t xml:space="preserve">Also, with regard to Key Issue#3, SA2 would like to understand details of the inter-IAB donor </w:t>
      </w:r>
      <w:proofErr w:type="spellStart"/>
      <w:r>
        <w:t>gNB</w:t>
      </w:r>
      <w:proofErr w:type="spellEnd"/>
      <w:r>
        <w:t xml:space="preserve"> mobility procedure for a MBSR, e.g. the feasibility of supporting NGAP messages containing multiple UE information during the handover procedure. </w:t>
      </w:r>
    </w:p>
    <w:p w14:paraId="044EA847" w14:textId="49F0A1C1" w:rsidR="00F42AA0" w:rsidRPr="00750847" w:rsidRDefault="00750847" w:rsidP="00750847">
      <w:pPr>
        <w:pStyle w:val="B1"/>
        <w:ind w:left="0" w:firstLine="0"/>
      </w:pPr>
      <w:r w:rsidRPr="00750847">
        <w:t>According to RAN3’s discussion,</w:t>
      </w:r>
      <w:r w:rsidR="00F42AA0" w:rsidRPr="00750847">
        <w:t xml:space="preserve"> the CGI will be changed in case of full migration, </w:t>
      </w:r>
      <w:r>
        <w:t xml:space="preserve">but it </w:t>
      </w:r>
      <w:r w:rsidR="00F42AA0" w:rsidRPr="00750847">
        <w:t>will not be changed in case of partial migration</w:t>
      </w:r>
      <w:r w:rsidRPr="00750847">
        <w:t>.</w:t>
      </w:r>
    </w:p>
    <w:p w14:paraId="1AF3E5A2" w14:textId="77777777" w:rsidR="00750847" w:rsidRPr="00E63B25" w:rsidRDefault="00750847" w:rsidP="00750847">
      <w:pPr>
        <w:pStyle w:val="B1"/>
        <w:ind w:left="0" w:firstLine="0"/>
        <w:rPr>
          <w:color w:val="7030A0"/>
        </w:rPr>
      </w:pPr>
      <w:r w:rsidRPr="00750847">
        <w:t>Regarding the TAC, the discussion is on-going, as shown in the RAN3’s agreement:</w:t>
      </w:r>
      <w:r>
        <w:rPr>
          <w:color w:val="7030A0"/>
        </w:rPr>
        <w:t xml:space="preserve"> </w:t>
      </w:r>
      <w:r w:rsidRPr="00CF0B00">
        <w:rPr>
          <w:rFonts w:ascii="Calibri" w:hAnsi="Calibri" w:cs="Calibri"/>
          <w:b/>
          <w:color w:val="008000"/>
          <w:sz w:val="18"/>
          <w:szCs w:val="18"/>
          <w:lang w:val="en-US" w:eastAsia="zh-CN"/>
        </w:rPr>
        <w:t>RAN3 to discuss whether the location info (e.g. TAC/RANAC) broadcasted by cell on mobile IAB-DU changes or not due to mobile IAB movement.</w:t>
      </w:r>
    </w:p>
    <w:p w14:paraId="3FF1D504" w14:textId="7A1C14A8" w:rsidR="00F42AA0" w:rsidRDefault="005224DE" w:rsidP="005224DE">
      <w:pPr>
        <w:pStyle w:val="B1"/>
        <w:ind w:left="0" w:firstLine="0"/>
      </w:pPr>
      <w:r>
        <w:t>The discussion about group mobility is still on-going and RAN3 had the agreement as below</w:t>
      </w:r>
    </w:p>
    <w:p w14:paraId="5A205CA9" w14:textId="280A6AB4" w:rsidR="005224DE" w:rsidRPr="00570E70" w:rsidRDefault="00F42AA0" w:rsidP="00570E70">
      <w:pPr>
        <w:rPr>
          <w:rFonts w:ascii="Calibri" w:hAnsi="Calibri" w:cs="Calibri"/>
          <w:b/>
          <w:color w:val="008000"/>
          <w:sz w:val="18"/>
          <w:szCs w:val="18"/>
        </w:rPr>
      </w:pPr>
      <w:r w:rsidRPr="00990501">
        <w:rPr>
          <w:rFonts w:ascii="Calibri" w:hAnsi="Calibri" w:cs="Calibri"/>
          <w:b/>
          <w:color w:val="008000"/>
          <w:sz w:val="18"/>
          <w:szCs w:val="18"/>
        </w:rPr>
        <w:t>For group mobility enhancement, RAN3 to discuss the benefit and whether to support signaling of information related to multiple UE contexts in a single message, during e.g. the handover preparation, path switch, and context release procedures.</w:t>
      </w:r>
    </w:p>
    <w:p w14:paraId="7A9011C5" w14:textId="77777777" w:rsidR="00DC74C1" w:rsidRPr="005224DE" w:rsidRDefault="00DC74C1" w:rsidP="00DC74C1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</w:t>
      </w:r>
      <w:r>
        <w:rPr>
          <w:b/>
        </w:rPr>
        <w:t>3</w:t>
      </w:r>
      <w:r w:rsidRPr="005224DE">
        <w:rPr>
          <w:b/>
        </w:rPr>
        <w:t>, RAN3 reply SA2 that the CGI will be changed in case of full migration, but it will not be changed in case of partial migration.</w:t>
      </w:r>
    </w:p>
    <w:p w14:paraId="43930769" w14:textId="1ECB78DF" w:rsidR="00DC74C1" w:rsidRDefault="00DC74C1" w:rsidP="005224DE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</w:t>
      </w:r>
      <w:r>
        <w:rPr>
          <w:b/>
        </w:rPr>
        <w:t>4</w:t>
      </w:r>
      <w:r w:rsidRPr="005224DE">
        <w:rPr>
          <w:b/>
        </w:rPr>
        <w:t>, RAN3 reply SA2 the latest progress about the change of TAC based on the discussion.</w:t>
      </w:r>
    </w:p>
    <w:p w14:paraId="27DA2825" w14:textId="6DC69E18" w:rsidR="005224DE" w:rsidRPr="005224DE" w:rsidRDefault="005224DE" w:rsidP="005224DE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5, RAN3 reply SA2 the latest progress about the </w:t>
      </w:r>
      <w:r w:rsidR="00DC74C1">
        <w:rPr>
          <w:b/>
        </w:rPr>
        <w:t>group mobility</w:t>
      </w:r>
      <w:r w:rsidRPr="005224DE">
        <w:rPr>
          <w:b/>
        </w:rPr>
        <w:t xml:space="preserve"> based on the discussion.</w:t>
      </w:r>
    </w:p>
    <w:p w14:paraId="76200A41" w14:textId="32AC317D" w:rsidR="005845B8" w:rsidRDefault="00507FC6" w:rsidP="00570E70">
      <w:pPr>
        <w:pStyle w:val="2"/>
      </w:pPr>
      <w:r>
        <w:t>2.</w:t>
      </w:r>
      <w:r w:rsidR="005845B8">
        <w:t>3</w:t>
      </w:r>
      <w:r>
        <w:tab/>
      </w:r>
      <w:r w:rsidR="005845B8">
        <w:t>Issue 4</w:t>
      </w:r>
      <w:r>
        <w:t xml:space="preserve"> </w:t>
      </w:r>
      <w:r w:rsidR="005224DE" w:rsidRPr="005224DE">
        <w:t>Support of roaming of mobile base station relays</w:t>
      </w:r>
    </w:p>
    <w:p w14:paraId="4636472A" w14:textId="77777777" w:rsidR="005845B8" w:rsidRDefault="005845B8" w:rsidP="005845B8">
      <w:pPr>
        <w:pStyle w:val="B1"/>
      </w:pPr>
      <w:r>
        <w:t>-</w:t>
      </w:r>
      <w:r>
        <w:tab/>
        <w:t xml:space="preserve">With regard to Key Issue#4 (as defined in clause 5.4), SA2 would like to understand if IAB-node integration procedure or inter-IAB-donor </w:t>
      </w:r>
      <w:proofErr w:type="spellStart"/>
      <w:r>
        <w:t>gNB</w:t>
      </w:r>
      <w:proofErr w:type="spellEnd"/>
      <w:r>
        <w:t xml:space="preserve"> mobility procedure, or both, can be used for MBSR to integrate into the VPLMN. </w:t>
      </w:r>
    </w:p>
    <w:p w14:paraId="2B54F14C" w14:textId="15BF4142" w:rsidR="005845B8" w:rsidRDefault="005224DE" w:rsidP="005224DE">
      <w:pPr>
        <w:pStyle w:val="B1"/>
        <w:ind w:left="0" w:firstLine="0"/>
      </w:pPr>
      <w:r>
        <w:t xml:space="preserve">In our understanding, if the access VPLMN support the IAB function, it is feasible that </w:t>
      </w:r>
      <w:r w:rsidRPr="005224DE">
        <w:t xml:space="preserve">IAB-node integration procedure or inter-IAB-donor </w:t>
      </w:r>
      <w:proofErr w:type="spellStart"/>
      <w:r w:rsidRPr="005224DE">
        <w:t>gNB</w:t>
      </w:r>
      <w:proofErr w:type="spellEnd"/>
      <w:r w:rsidRPr="005224DE">
        <w:t xml:space="preserve"> mobility procedure, or both, can be used for MBSR to integrate into the VPLMN</w:t>
      </w:r>
      <w:r w:rsidR="00DC74C1">
        <w:t>, and we don’t see any additional RAN spec impact.</w:t>
      </w:r>
    </w:p>
    <w:p w14:paraId="0FD5527C" w14:textId="7D2447F4" w:rsidR="00A31288" w:rsidRPr="005224DE" w:rsidRDefault="005224DE" w:rsidP="005224DE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</w:t>
      </w:r>
      <w:r>
        <w:rPr>
          <w:b/>
        </w:rPr>
        <w:t>6</w:t>
      </w:r>
      <w:r w:rsidRPr="005224DE">
        <w:rPr>
          <w:b/>
        </w:rPr>
        <w:t xml:space="preserve">, RAN3 reply SA2 </w:t>
      </w:r>
      <w:r>
        <w:rPr>
          <w:b/>
        </w:rPr>
        <w:t>that it is feasible from RAN3 perspective the</w:t>
      </w:r>
      <w:r w:rsidRPr="005224DE">
        <w:t xml:space="preserve"> </w:t>
      </w:r>
      <w:r w:rsidRPr="005224DE">
        <w:rPr>
          <w:b/>
        </w:rPr>
        <w:t xml:space="preserve">IAB-node integration procedure or inter-IAB-donor </w:t>
      </w:r>
      <w:proofErr w:type="spellStart"/>
      <w:r w:rsidRPr="005224DE">
        <w:rPr>
          <w:b/>
        </w:rPr>
        <w:t>gNB</w:t>
      </w:r>
      <w:proofErr w:type="spellEnd"/>
      <w:r w:rsidRPr="005224DE">
        <w:rPr>
          <w:b/>
        </w:rPr>
        <w:t xml:space="preserve"> mobility procedure, or both, can be used for MBSR to integrate into the VPLMN.</w:t>
      </w:r>
    </w:p>
    <w:p w14:paraId="16E1031F" w14:textId="781CDDC8" w:rsidR="00A31288" w:rsidRDefault="00A31288" w:rsidP="00A31288">
      <w:pPr>
        <w:pStyle w:val="2"/>
      </w:pPr>
      <w:r>
        <w:t>2.3</w:t>
      </w:r>
      <w:r>
        <w:tab/>
      </w:r>
      <w:r w:rsidR="005224DE">
        <w:t>I</w:t>
      </w:r>
      <w:r w:rsidR="005845B8">
        <w:t>ssue 5</w:t>
      </w:r>
      <w:r w:rsidR="00C23BE1" w:rsidRPr="00C23BE1">
        <w:t xml:space="preserve"> </w:t>
      </w:r>
      <w:r w:rsidR="00C23BE1">
        <w:t>Support of location services</w:t>
      </w:r>
    </w:p>
    <w:p w14:paraId="7CA66B08" w14:textId="30546F33" w:rsidR="005845B8" w:rsidRDefault="005845B8" w:rsidP="005845B8">
      <w:pPr>
        <w:pStyle w:val="B1"/>
      </w:pPr>
      <w:r>
        <w:t>-</w:t>
      </w:r>
      <w:r>
        <w:tab/>
        <w:t xml:space="preserve">With regard to Key Issue#5 (as defined in clause 5.5), is it feasible </w:t>
      </w:r>
      <w:r w:rsidRPr="005224DE">
        <w:t xml:space="preserve">for the IAB-donor </w:t>
      </w:r>
      <w:proofErr w:type="spellStart"/>
      <w:r w:rsidRPr="005224DE">
        <w:t>gNB</w:t>
      </w:r>
      <w:proofErr w:type="spellEnd"/>
      <w:r w:rsidRPr="005224DE">
        <w:t xml:space="preserve"> to identify that a UE is served by a MBSR</w:t>
      </w:r>
      <w:r>
        <w:t xml:space="preserve"> (e.g. indicate TRP is mobile and the reference point is a MBSR/mobile). </w:t>
      </w:r>
    </w:p>
    <w:p w14:paraId="323AD32A" w14:textId="078156E1" w:rsidR="00E71097" w:rsidRDefault="00E71097" w:rsidP="00E71097">
      <w:pPr>
        <w:pStyle w:val="B1"/>
      </w:pPr>
      <w:r>
        <w:t>-</w:t>
      </w:r>
      <w:r>
        <w:tab/>
        <w:t xml:space="preserve">Additionally, with regard to Key Issue#5, would </w:t>
      </w:r>
      <w:proofErr w:type="spellStart"/>
      <w:r>
        <w:t>NRPPa</w:t>
      </w:r>
      <w:proofErr w:type="spellEnd"/>
      <w:r>
        <w:t xml:space="preserve"> procedure for TRP location query be used by an LMF to obtain the MBSR location information? </w:t>
      </w:r>
    </w:p>
    <w:p w14:paraId="5CEB832B" w14:textId="12F367CC" w:rsidR="00C23BE1" w:rsidRDefault="005224DE" w:rsidP="005224DE">
      <w:pPr>
        <w:pStyle w:val="B1"/>
        <w:ind w:left="0" w:firstLine="0"/>
      </w:pPr>
      <w:r>
        <w:lastRenderedPageBreak/>
        <w:t>RAN3 hadn’t discussed this issue before. In our understanding, it is feasible for the IAB-donor to identify that a UE is served by a MBSR with some additional enhancements</w:t>
      </w:r>
      <w:r w:rsidR="00C23BE1">
        <w:t xml:space="preserve">. </w:t>
      </w:r>
    </w:p>
    <w:p w14:paraId="609A5027" w14:textId="661D16BE" w:rsidR="005224DE" w:rsidRDefault="00C23BE1" w:rsidP="005224DE">
      <w:pPr>
        <w:pStyle w:val="B1"/>
        <w:ind w:left="0" w:firstLine="0"/>
      </w:pPr>
      <w:r>
        <w:t xml:space="preserve">However, only indicate TRP is mobile may not be enough to </w:t>
      </w:r>
      <w:r w:rsidR="00DC74C1">
        <w:t>positioning</w:t>
      </w:r>
      <w:r>
        <w:t xml:space="preserve"> the UE</w:t>
      </w:r>
      <w:r w:rsidR="00DC74C1">
        <w:t xml:space="preserve"> access via mobile IAB-node</w:t>
      </w:r>
      <w:r>
        <w:t xml:space="preserve">, some additional information like </w:t>
      </w:r>
      <w:r w:rsidRPr="00C23BE1">
        <w:t xml:space="preserve">the </w:t>
      </w:r>
      <w:r w:rsidR="00E71097">
        <w:t>route</w:t>
      </w:r>
      <w:r>
        <w:t xml:space="preserve"> of the mobile IAB node</w:t>
      </w:r>
      <w:r w:rsidR="00E71097">
        <w:t xml:space="preserve"> (e.g. a bus)</w:t>
      </w:r>
      <w:r>
        <w:t xml:space="preserve"> </w:t>
      </w:r>
      <w:r w:rsidR="00570E70">
        <w:t>can also</w:t>
      </w:r>
      <w:bookmarkStart w:id="3" w:name="_GoBack"/>
      <w:bookmarkEnd w:id="3"/>
      <w:r>
        <w:t xml:space="preserve"> be considered. </w:t>
      </w:r>
    </w:p>
    <w:p w14:paraId="0CB006E1" w14:textId="7151524F" w:rsidR="00C23BE1" w:rsidRDefault="00C23BE1" w:rsidP="005224DE">
      <w:pPr>
        <w:pStyle w:val="B1"/>
        <w:ind w:left="0" w:firstLine="0"/>
      </w:pPr>
      <w:r>
        <w:t xml:space="preserve">In addition, since on-board UE and surrounding UE may be identified by network, </w:t>
      </w:r>
      <w:r w:rsidR="00E71097">
        <w:t>RAN3 may need clarification from SA2 whether the enhancement for location service is also applied for the surrounding UEs.</w:t>
      </w:r>
    </w:p>
    <w:p w14:paraId="57CF9FB4" w14:textId="70FA8110" w:rsidR="00E71097" w:rsidRDefault="00E71097" w:rsidP="005224DE">
      <w:pPr>
        <w:pStyle w:val="B1"/>
        <w:ind w:left="0" w:firstLine="0"/>
      </w:pPr>
      <w:r>
        <w:t>Furthermore, if the TRP is mobile, the cell ID including CGI/PCI may change due to the movement of the mobile IAB-node or the mobile IAB may not allowed to be used sometimes, but current TRP information exchange procedure doesn’t support the update of TRP information.</w:t>
      </w:r>
    </w:p>
    <w:p w14:paraId="1132D7F7" w14:textId="5125AE91" w:rsidR="005845B8" w:rsidRDefault="00E71097" w:rsidP="00E71097">
      <w:pPr>
        <w:pStyle w:val="B1"/>
        <w:ind w:left="0" w:firstLine="0"/>
      </w:pPr>
      <w:r>
        <w:t>Regarding whether to introduce query indication from LMF, we don’t see the need</w:t>
      </w:r>
      <w:r w:rsidR="00A30B98">
        <w:t>, if it’s a mobile IAB, it can send the corresponding information accordingly.</w:t>
      </w:r>
    </w:p>
    <w:p w14:paraId="3333FF0F" w14:textId="389C961E" w:rsidR="00A30B98" w:rsidRPr="00A30B98" w:rsidRDefault="00A30B98" w:rsidP="00E71097">
      <w:pPr>
        <w:pStyle w:val="B1"/>
        <w:ind w:left="0" w:firstLine="0"/>
        <w:rPr>
          <w:b/>
        </w:rPr>
      </w:pPr>
      <w:r w:rsidRPr="00A30B98">
        <w:rPr>
          <w:b/>
        </w:rPr>
        <w:t>Proposal</w:t>
      </w:r>
      <w:r>
        <w:rPr>
          <w:b/>
        </w:rPr>
        <w:t xml:space="preserve"> 7</w:t>
      </w:r>
      <w:r w:rsidRPr="00A30B98">
        <w:rPr>
          <w:b/>
        </w:rPr>
        <w:t xml:space="preserve">, RAN3 discuss the spec impact on </w:t>
      </w:r>
      <w:proofErr w:type="spellStart"/>
      <w:r w:rsidRPr="00A30B98">
        <w:rPr>
          <w:b/>
        </w:rPr>
        <w:t>NRPPa</w:t>
      </w:r>
      <w:proofErr w:type="spellEnd"/>
      <w:r w:rsidRPr="00A30B98">
        <w:rPr>
          <w:b/>
        </w:rPr>
        <w:t xml:space="preserve"> and F1AP for the support of location services for UEs accessing via a mobile IAB-node.</w:t>
      </w:r>
    </w:p>
    <w:p w14:paraId="630CC161" w14:textId="4035485F" w:rsidR="00A30B98" w:rsidRDefault="00A30B98" w:rsidP="00E71097">
      <w:pPr>
        <w:pStyle w:val="B1"/>
        <w:ind w:left="0" w:firstLine="0"/>
        <w:rPr>
          <w:b/>
        </w:rPr>
      </w:pPr>
      <w:r w:rsidRPr="00A30B98">
        <w:rPr>
          <w:b/>
        </w:rPr>
        <w:t>Proposal</w:t>
      </w:r>
      <w:r>
        <w:rPr>
          <w:b/>
        </w:rPr>
        <w:t xml:space="preserve"> 8</w:t>
      </w:r>
      <w:r w:rsidRPr="00A30B98">
        <w:rPr>
          <w:b/>
        </w:rPr>
        <w:t xml:space="preserve">, RAN3 ask SA2 for clarification on whether the enhancement for location service is also applied to surrounding UEs. </w:t>
      </w:r>
    </w:p>
    <w:p w14:paraId="140E51AC" w14:textId="711BD566" w:rsidR="00A30B98" w:rsidRPr="00A30B98" w:rsidRDefault="00A30B98" w:rsidP="00E71097">
      <w:pPr>
        <w:pStyle w:val="B1"/>
        <w:ind w:left="0" w:firstLine="0"/>
        <w:rPr>
          <w:b/>
        </w:rPr>
      </w:pPr>
      <w:r>
        <w:rPr>
          <w:b/>
        </w:rPr>
        <w:t>Proposal 9, RAN3 think there is no need to introduce query indication from LMF.</w:t>
      </w:r>
    </w:p>
    <w:p w14:paraId="0787585D" w14:textId="6DD79B99" w:rsidR="005845B8" w:rsidRDefault="005845B8" w:rsidP="00A30B98">
      <w:pPr>
        <w:pStyle w:val="2"/>
      </w:pPr>
      <w:r>
        <w:t>2.3</w:t>
      </w:r>
      <w:r>
        <w:tab/>
        <w:t>Issue 6</w:t>
      </w:r>
      <w:r>
        <w:tab/>
      </w:r>
      <w:r w:rsidR="00BB17EC" w:rsidRPr="00BB17EC">
        <w:t xml:space="preserve">Provide cell ID/TAC of mobile </w:t>
      </w:r>
      <w:r w:rsidR="00BB17EC">
        <w:t>IAB-node</w:t>
      </w:r>
      <w:r w:rsidR="00BB17EC" w:rsidRPr="00BB17EC">
        <w:t xml:space="preserve"> for services</w:t>
      </w:r>
    </w:p>
    <w:p w14:paraId="6E55A4C6" w14:textId="77777777" w:rsidR="005845B8" w:rsidRDefault="005845B8" w:rsidP="005845B8">
      <w:pPr>
        <w:pStyle w:val="B1"/>
      </w:pPr>
      <w:r>
        <w:t>-</w:t>
      </w:r>
      <w:r>
        <w:tab/>
        <w:t xml:space="preserve">With regard to Key Issue#6 (as defined in clause 5.6), is it feasible for the IAB-donor </w:t>
      </w:r>
      <w:proofErr w:type="spellStart"/>
      <w:r>
        <w:t>gNB</w:t>
      </w:r>
      <w:proofErr w:type="spellEnd"/>
      <w:r>
        <w:t xml:space="preserve"> to provide an additional ULI (e.g. TAI/NG CGI information) for the MBSR to the AMF of the UE served by the MBSR, over NGAP together with the existing ULI for the UE?</w:t>
      </w:r>
    </w:p>
    <w:p w14:paraId="599A7E02" w14:textId="6438A6FE" w:rsidR="00A31288" w:rsidRDefault="00A30B98" w:rsidP="004E6C01">
      <w:r>
        <w:t xml:space="preserve">We think it is feasible for IAB-donor </w:t>
      </w:r>
      <w:proofErr w:type="spellStart"/>
      <w:r>
        <w:t>gNB</w:t>
      </w:r>
      <w:proofErr w:type="spellEnd"/>
      <w:r>
        <w:t xml:space="preserve"> to provide an additional ULI (e.g. TAI/NG CGI information) for the MBSR to the AMF of the UE served by the MBSR. However, since there will be several partial migrations, after partial migration, the IAB-MT connect to the non-F1 terminating IAB-donor, while IAB-DU connect to the F1 terminating IAB-donor, in this case, RAN3 should discuss whether the F1 terminating IAB-donor can provide additional ULI (e.g. TAI/NG CGI information) for the MBSR</w:t>
      </w:r>
      <w:r w:rsidR="00BB17EC">
        <w:t>, which belongs to non-F1 terminating IAB-donor.</w:t>
      </w:r>
    </w:p>
    <w:p w14:paraId="6C6B5D20" w14:textId="419B9B38" w:rsidR="00BB17EC" w:rsidRPr="00BB17EC" w:rsidRDefault="00BB17EC" w:rsidP="004E6C01">
      <w:pPr>
        <w:rPr>
          <w:b/>
          <w:szCs w:val="21"/>
        </w:rPr>
      </w:pPr>
      <w:r w:rsidRPr="00BB17EC">
        <w:rPr>
          <w:b/>
          <w:szCs w:val="21"/>
        </w:rPr>
        <w:t xml:space="preserve">Proposal 10, RAN3 discuss how to provide the additional ULI after one or more </w:t>
      </w:r>
      <w:r w:rsidRPr="00BB17EC">
        <w:rPr>
          <w:b/>
        </w:rPr>
        <w:t>partial migrations.</w:t>
      </w:r>
    </w:p>
    <w:bookmarkEnd w:id="2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5C40D7D2" w:rsidR="00CD4C7B" w:rsidRDefault="00DD41D3" w:rsidP="00CD4C7B">
      <w:r>
        <w:t xml:space="preserve">In this contribution, we discussed </w:t>
      </w:r>
      <w:r w:rsidR="00DC74C1">
        <w:t xml:space="preserve">the LS </w:t>
      </w:r>
      <w:r w:rsidR="00DC74C1" w:rsidRPr="00DC74C1">
        <w:t>of FS_VMR solutions review</w:t>
      </w:r>
      <w:r w:rsidR="00DC74C1">
        <w:t xml:space="preserve"> from SA2, RAN3’s status and our understanding on the issues studied in SA2</w:t>
      </w:r>
      <w:r>
        <w:t xml:space="preserve">, and we had the following observations and proposals: </w:t>
      </w:r>
    </w:p>
    <w:p w14:paraId="6BAFDA52" w14:textId="77777777" w:rsidR="00DC74C1" w:rsidRPr="00702EF4" w:rsidRDefault="00DC74C1" w:rsidP="00DC74C1">
      <w:pPr>
        <w:pStyle w:val="B1"/>
        <w:ind w:left="0" w:firstLine="0"/>
        <w:rPr>
          <w:b/>
        </w:rPr>
      </w:pPr>
      <w:r w:rsidRPr="00702EF4">
        <w:rPr>
          <w:b/>
        </w:rPr>
        <w:t>Observation</w:t>
      </w:r>
      <w:r>
        <w:rPr>
          <w:b/>
        </w:rPr>
        <w:t xml:space="preserve"> 1</w:t>
      </w:r>
      <w:r w:rsidRPr="00702EF4">
        <w:rPr>
          <w:b/>
        </w:rPr>
        <w:t>, IAB-node should be identifiable as mobile IAB-node.</w:t>
      </w:r>
    </w:p>
    <w:p w14:paraId="545762F7" w14:textId="5AD70E06" w:rsidR="00DC74C1" w:rsidRDefault="00DC74C1" w:rsidP="00DC74C1">
      <w:pPr>
        <w:pStyle w:val="B1"/>
        <w:ind w:left="0" w:firstLine="0"/>
        <w:rPr>
          <w:b/>
        </w:rPr>
      </w:pPr>
      <w:r w:rsidRPr="00702EF4">
        <w:rPr>
          <w:b/>
        </w:rPr>
        <w:t xml:space="preserve">Proposal </w:t>
      </w:r>
      <w:r>
        <w:rPr>
          <w:b/>
        </w:rPr>
        <w:t>1</w:t>
      </w:r>
      <w:r w:rsidRPr="00702EF4">
        <w:rPr>
          <w:b/>
        </w:rPr>
        <w:t xml:space="preserve">, RAN3 reply SA2 IAB-donor-CU can know that the IAB-node is “mobile” and means to identify mobile IAB-node depends on RAN3 discussion. </w:t>
      </w:r>
    </w:p>
    <w:p w14:paraId="0366135F" w14:textId="77777777" w:rsidR="00DC74C1" w:rsidRPr="005224DE" w:rsidRDefault="00DC74C1" w:rsidP="00DC74C1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</w:t>
      </w:r>
      <w:r>
        <w:rPr>
          <w:b/>
        </w:rPr>
        <w:t>3</w:t>
      </w:r>
      <w:r w:rsidRPr="005224DE">
        <w:rPr>
          <w:b/>
        </w:rPr>
        <w:t>, RAN3 reply SA2 that the CGI will be changed in case of full migration, but it will not be changed in case of partial migration.</w:t>
      </w:r>
    </w:p>
    <w:p w14:paraId="7E01DF14" w14:textId="77777777" w:rsidR="00DC74C1" w:rsidRDefault="00DC74C1" w:rsidP="00DC74C1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</w:t>
      </w:r>
      <w:r>
        <w:rPr>
          <w:b/>
        </w:rPr>
        <w:t>4</w:t>
      </w:r>
      <w:r w:rsidRPr="005224DE">
        <w:rPr>
          <w:b/>
        </w:rPr>
        <w:t>, RAN3 reply SA2 the latest progress about the change of TAC based on the discussion.</w:t>
      </w:r>
    </w:p>
    <w:p w14:paraId="28D7EB9E" w14:textId="77777777" w:rsidR="00DC74C1" w:rsidRPr="005224DE" w:rsidRDefault="00DC74C1" w:rsidP="00DC74C1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5, RAN3 reply SA2 the latest progress about the </w:t>
      </w:r>
      <w:r>
        <w:rPr>
          <w:b/>
        </w:rPr>
        <w:t>group mobility</w:t>
      </w:r>
      <w:r w:rsidRPr="005224DE">
        <w:rPr>
          <w:b/>
        </w:rPr>
        <w:t xml:space="preserve"> based on the discussion.</w:t>
      </w:r>
    </w:p>
    <w:p w14:paraId="2EEAAC2F" w14:textId="77777777" w:rsidR="00DC74C1" w:rsidRPr="005224DE" w:rsidRDefault="00DC74C1" w:rsidP="00DC74C1">
      <w:pPr>
        <w:pStyle w:val="B1"/>
        <w:ind w:left="0" w:firstLine="0"/>
        <w:rPr>
          <w:b/>
        </w:rPr>
      </w:pPr>
      <w:r w:rsidRPr="005224DE">
        <w:rPr>
          <w:b/>
        </w:rPr>
        <w:t xml:space="preserve">Proposal </w:t>
      </w:r>
      <w:r>
        <w:rPr>
          <w:b/>
        </w:rPr>
        <w:t>6</w:t>
      </w:r>
      <w:r w:rsidRPr="005224DE">
        <w:rPr>
          <w:b/>
        </w:rPr>
        <w:t xml:space="preserve">, RAN3 reply SA2 </w:t>
      </w:r>
      <w:r>
        <w:rPr>
          <w:b/>
        </w:rPr>
        <w:t>that it is feasible from RAN3 perspective the</w:t>
      </w:r>
      <w:r w:rsidRPr="005224DE">
        <w:t xml:space="preserve"> </w:t>
      </w:r>
      <w:r w:rsidRPr="005224DE">
        <w:rPr>
          <w:b/>
        </w:rPr>
        <w:t xml:space="preserve">IAB-node integration procedure or inter-IAB-donor </w:t>
      </w:r>
      <w:proofErr w:type="spellStart"/>
      <w:r w:rsidRPr="005224DE">
        <w:rPr>
          <w:b/>
        </w:rPr>
        <w:t>gNB</w:t>
      </w:r>
      <w:proofErr w:type="spellEnd"/>
      <w:r w:rsidRPr="005224DE">
        <w:rPr>
          <w:b/>
        </w:rPr>
        <w:t xml:space="preserve"> mobility procedure, or both, can be used for MBSR to integrate into the VPLMN.</w:t>
      </w:r>
    </w:p>
    <w:p w14:paraId="06F6BCD2" w14:textId="77777777" w:rsidR="00DC74C1" w:rsidRPr="00A30B98" w:rsidRDefault="00DC74C1" w:rsidP="00DC74C1">
      <w:pPr>
        <w:pStyle w:val="B1"/>
        <w:ind w:left="0" w:firstLine="0"/>
        <w:rPr>
          <w:b/>
        </w:rPr>
      </w:pPr>
      <w:r w:rsidRPr="00A30B98">
        <w:rPr>
          <w:b/>
        </w:rPr>
        <w:t>Proposal</w:t>
      </w:r>
      <w:r>
        <w:rPr>
          <w:b/>
        </w:rPr>
        <w:t xml:space="preserve"> 7</w:t>
      </w:r>
      <w:r w:rsidRPr="00A30B98">
        <w:rPr>
          <w:b/>
        </w:rPr>
        <w:t xml:space="preserve">, RAN3 discuss the spec impact on </w:t>
      </w:r>
      <w:proofErr w:type="spellStart"/>
      <w:r w:rsidRPr="00A30B98">
        <w:rPr>
          <w:b/>
        </w:rPr>
        <w:t>NRPPa</w:t>
      </w:r>
      <w:proofErr w:type="spellEnd"/>
      <w:r w:rsidRPr="00A30B98">
        <w:rPr>
          <w:b/>
        </w:rPr>
        <w:t xml:space="preserve"> and F1AP for the support of location services for UEs accessing via a mobile IAB-node.</w:t>
      </w:r>
    </w:p>
    <w:p w14:paraId="42B66688" w14:textId="77777777" w:rsidR="00DC74C1" w:rsidRDefault="00DC74C1" w:rsidP="00DC74C1">
      <w:pPr>
        <w:pStyle w:val="B1"/>
        <w:ind w:left="0" w:firstLine="0"/>
        <w:rPr>
          <w:b/>
        </w:rPr>
      </w:pPr>
      <w:r w:rsidRPr="00A30B98">
        <w:rPr>
          <w:b/>
        </w:rPr>
        <w:t>Proposal</w:t>
      </w:r>
      <w:r>
        <w:rPr>
          <w:b/>
        </w:rPr>
        <w:t xml:space="preserve"> 8</w:t>
      </w:r>
      <w:r w:rsidRPr="00A30B98">
        <w:rPr>
          <w:b/>
        </w:rPr>
        <w:t xml:space="preserve">, RAN3 ask SA2 for clarification on whether the enhancement for location service is also applied to surrounding UEs. </w:t>
      </w:r>
    </w:p>
    <w:p w14:paraId="6A88499E" w14:textId="77777777" w:rsidR="00DC74C1" w:rsidRPr="00A30B98" w:rsidRDefault="00DC74C1" w:rsidP="00DC74C1">
      <w:pPr>
        <w:pStyle w:val="B1"/>
        <w:ind w:left="0" w:firstLine="0"/>
        <w:rPr>
          <w:b/>
        </w:rPr>
      </w:pPr>
      <w:r>
        <w:rPr>
          <w:b/>
        </w:rPr>
        <w:lastRenderedPageBreak/>
        <w:t>Proposal 9, RAN3 think there is no need to introduce query indication from LMF.</w:t>
      </w:r>
    </w:p>
    <w:p w14:paraId="0741D3C6" w14:textId="452356DC" w:rsidR="00DC74C1" w:rsidRPr="00DC74C1" w:rsidRDefault="00DC74C1" w:rsidP="00DC74C1">
      <w:pPr>
        <w:rPr>
          <w:b/>
          <w:szCs w:val="21"/>
        </w:rPr>
      </w:pPr>
      <w:r w:rsidRPr="00BB17EC">
        <w:rPr>
          <w:b/>
          <w:szCs w:val="21"/>
        </w:rPr>
        <w:t xml:space="preserve">Proposal 10, RAN3 discuss how to provide the additional ULI after one or more </w:t>
      </w:r>
      <w:r w:rsidRPr="00BB17EC">
        <w:rPr>
          <w:b/>
        </w:rPr>
        <w:t>partial migrations</w:t>
      </w:r>
      <w:r>
        <w:rPr>
          <w:b/>
        </w:rPr>
        <w:t>.</w:t>
      </w:r>
    </w:p>
    <w:p w14:paraId="079C0D43" w14:textId="754FF081" w:rsidR="00C95C04" w:rsidRPr="00CD4C7B" w:rsidRDefault="00342065" w:rsidP="00990501">
      <w:pPr>
        <w:pStyle w:val="1"/>
      </w:pPr>
      <w:r>
        <w:t>4</w:t>
      </w:r>
      <w:r>
        <w:tab/>
      </w:r>
      <w:r w:rsidR="00CD4C7B" w:rsidRPr="006E13D1">
        <w:t>References</w:t>
      </w:r>
      <w:r w:rsidR="002546FB">
        <w:tab/>
      </w:r>
    </w:p>
    <w:p w14:paraId="0BA2BD6A" w14:textId="798B0BFC" w:rsidR="00080512" w:rsidRDefault="007121C5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[1] </w:t>
      </w:r>
      <w:r w:rsidRPr="007121C5">
        <w:t>RP-221919</w:t>
      </w:r>
    </w:p>
    <w:p w14:paraId="6657BACE" w14:textId="60CA87F4" w:rsidR="00702EF4" w:rsidRPr="00CD4C7B" w:rsidRDefault="00702EF4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 w:rsidRPr="00702EF4">
        <w:t xml:space="preserve"> R 23.700-05</w:t>
      </w:r>
    </w:p>
    <w:sectPr w:rsidR="00702EF4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70327" w14:textId="77777777" w:rsidR="00D9355A" w:rsidRDefault="00D9355A">
      <w:r>
        <w:separator/>
      </w:r>
    </w:p>
  </w:endnote>
  <w:endnote w:type="continuationSeparator" w:id="0">
    <w:p w14:paraId="7DA2D5BE" w14:textId="77777777" w:rsidR="00D9355A" w:rsidRDefault="00D93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9BA84" w14:textId="77777777" w:rsidR="00D9355A" w:rsidRDefault="00D9355A">
      <w:r>
        <w:separator/>
      </w:r>
    </w:p>
  </w:footnote>
  <w:footnote w:type="continuationSeparator" w:id="0">
    <w:p w14:paraId="14561230" w14:textId="77777777" w:rsidR="00D9355A" w:rsidRDefault="00D93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62EC6"/>
    <w:multiLevelType w:val="hybridMultilevel"/>
    <w:tmpl w:val="AD4CD22C"/>
    <w:lvl w:ilvl="0" w:tplc="15FCE4CA">
      <w:start w:val="23"/>
      <w:numFmt w:val="bullet"/>
      <w:lvlText w:val="-"/>
      <w:lvlJc w:val="left"/>
      <w:pPr>
        <w:ind w:left="9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AC01B19"/>
    <w:multiLevelType w:val="hybridMultilevel"/>
    <w:tmpl w:val="FD26640C"/>
    <w:lvl w:ilvl="0" w:tplc="E9F6035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01C3F"/>
    <w:multiLevelType w:val="hybridMultilevel"/>
    <w:tmpl w:val="5A480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20FCB"/>
    <w:multiLevelType w:val="hybridMultilevel"/>
    <w:tmpl w:val="3E26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8168E"/>
    <w:multiLevelType w:val="hybridMultilevel"/>
    <w:tmpl w:val="C8A27388"/>
    <w:lvl w:ilvl="0" w:tplc="E8D012AC">
      <w:start w:val="23"/>
      <w:numFmt w:val="bullet"/>
      <w:lvlText w:val="-"/>
      <w:lvlJc w:val="left"/>
      <w:pPr>
        <w:ind w:left="90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31040"/>
    <w:multiLevelType w:val="hybridMultilevel"/>
    <w:tmpl w:val="D2F0C36C"/>
    <w:lvl w:ilvl="0" w:tplc="6A886CD6">
      <w:start w:val="2"/>
      <w:numFmt w:val="bullet"/>
      <w:lvlText w:val="-"/>
      <w:lvlJc w:val="left"/>
      <w:pPr>
        <w:ind w:left="96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7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7"/>
  </w:num>
  <w:num w:numId="6">
    <w:abstractNumId w:val="6"/>
  </w:num>
  <w:num w:numId="7">
    <w:abstractNumId w:val="12"/>
  </w:num>
  <w:num w:numId="8">
    <w:abstractNumId w:val="13"/>
  </w:num>
  <w:num w:numId="9">
    <w:abstractNumId w:val="9"/>
  </w:num>
  <w:num w:numId="10">
    <w:abstractNumId w:val="11"/>
  </w:num>
  <w:num w:numId="11">
    <w:abstractNumId w:val="4"/>
  </w:num>
  <w:num w:numId="12">
    <w:abstractNumId w:val="14"/>
  </w:num>
  <w:num w:numId="13">
    <w:abstractNumId w:val="15"/>
  </w:num>
  <w:num w:numId="14">
    <w:abstractNumId w:val="3"/>
  </w:num>
  <w:num w:numId="15">
    <w:abstractNumId w:val="8"/>
  </w:num>
  <w:num w:numId="16">
    <w:abstractNumId w:val="10"/>
  </w:num>
  <w:num w:numId="17">
    <w:abstractNumId w:val="2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1025"/>
    <w:rsid w:val="00033397"/>
    <w:rsid w:val="000342C7"/>
    <w:rsid w:val="00040095"/>
    <w:rsid w:val="0005563E"/>
    <w:rsid w:val="00073043"/>
    <w:rsid w:val="00076AEC"/>
    <w:rsid w:val="00080512"/>
    <w:rsid w:val="00083F0D"/>
    <w:rsid w:val="00086671"/>
    <w:rsid w:val="000B7BCF"/>
    <w:rsid w:val="000C1506"/>
    <w:rsid w:val="000C556D"/>
    <w:rsid w:val="000D376D"/>
    <w:rsid w:val="000D58AB"/>
    <w:rsid w:val="000E1E22"/>
    <w:rsid w:val="000E3730"/>
    <w:rsid w:val="0010667C"/>
    <w:rsid w:val="00107326"/>
    <w:rsid w:val="001075B7"/>
    <w:rsid w:val="001265F8"/>
    <w:rsid w:val="001370F2"/>
    <w:rsid w:val="001549DD"/>
    <w:rsid w:val="00161C15"/>
    <w:rsid w:val="00190CAC"/>
    <w:rsid w:val="00192F70"/>
    <w:rsid w:val="00194CD0"/>
    <w:rsid w:val="001B08B3"/>
    <w:rsid w:val="001C4281"/>
    <w:rsid w:val="001D0D3F"/>
    <w:rsid w:val="001E39D1"/>
    <w:rsid w:val="001E6294"/>
    <w:rsid w:val="001F168B"/>
    <w:rsid w:val="001F70B7"/>
    <w:rsid w:val="00225F6D"/>
    <w:rsid w:val="0022606D"/>
    <w:rsid w:val="002305DD"/>
    <w:rsid w:val="00243BC7"/>
    <w:rsid w:val="00250D89"/>
    <w:rsid w:val="002546FB"/>
    <w:rsid w:val="002623FC"/>
    <w:rsid w:val="002724FC"/>
    <w:rsid w:val="002747EC"/>
    <w:rsid w:val="002855BF"/>
    <w:rsid w:val="002868BC"/>
    <w:rsid w:val="002953B2"/>
    <w:rsid w:val="002D12AE"/>
    <w:rsid w:val="002E1692"/>
    <w:rsid w:val="002F0D22"/>
    <w:rsid w:val="002F5942"/>
    <w:rsid w:val="003172DC"/>
    <w:rsid w:val="003238E8"/>
    <w:rsid w:val="00326069"/>
    <w:rsid w:val="00342065"/>
    <w:rsid w:val="003454FC"/>
    <w:rsid w:val="00353B12"/>
    <w:rsid w:val="0035462D"/>
    <w:rsid w:val="00363177"/>
    <w:rsid w:val="003702F7"/>
    <w:rsid w:val="003717A7"/>
    <w:rsid w:val="00385F81"/>
    <w:rsid w:val="003B3FB3"/>
    <w:rsid w:val="003B5FD6"/>
    <w:rsid w:val="003C4E37"/>
    <w:rsid w:val="003E1194"/>
    <w:rsid w:val="003E16BE"/>
    <w:rsid w:val="003E7223"/>
    <w:rsid w:val="00401855"/>
    <w:rsid w:val="00406760"/>
    <w:rsid w:val="004118FB"/>
    <w:rsid w:val="004417F9"/>
    <w:rsid w:val="00455983"/>
    <w:rsid w:val="00464695"/>
    <w:rsid w:val="004B298A"/>
    <w:rsid w:val="004B3B48"/>
    <w:rsid w:val="004C53DC"/>
    <w:rsid w:val="004C5539"/>
    <w:rsid w:val="004D014F"/>
    <w:rsid w:val="004D3578"/>
    <w:rsid w:val="004D380D"/>
    <w:rsid w:val="004D3F58"/>
    <w:rsid w:val="004D5E47"/>
    <w:rsid w:val="004E0173"/>
    <w:rsid w:val="004E213A"/>
    <w:rsid w:val="004E21FC"/>
    <w:rsid w:val="004E6C01"/>
    <w:rsid w:val="00503171"/>
    <w:rsid w:val="00507FC6"/>
    <w:rsid w:val="00513594"/>
    <w:rsid w:val="005153FE"/>
    <w:rsid w:val="005160F1"/>
    <w:rsid w:val="005224DE"/>
    <w:rsid w:val="005240A4"/>
    <w:rsid w:val="00531884"/>
    <w:rsid w:val="00531C12"/>
    <w:rsid w:val="00534DA0"/>
    <w:rsid w:val="0054073B"/>
    <w:rsid w:val="00540B31"/>
    <w:rsid w:val="00543E6C"/>
    <w:rsid w:val="00544635"/>
    <w:rsid w:val="005626DD"/>
    <w:rsid w:val="00565087"/>
    <w:rsid w:val="0056573F"/>
    <w:rsid w:val="00565BE9"/>
    <w:rsid w:val="00570E70"/>
    <w:rsid w:val="00571CE2"/>
    <w:rsid w:val="0057579F"/>
    <w:rsid w:val="0058267E"/>
    <w:rsid w:val="005845B8"/>
    <w:rsid w:val="00587958"/>
    <w:rsid w:val="005A4971"/>
    <w:rsid w:val="005B1232"/>
    <w:rsid w:val="005B2EEF"/>
    <w:rsid w:val="005D0F3B"/>
    <w:rsid w:val="005D4274"/>
    <w:rsid w:val="005E3C56"/>
    <w:rsid w:val="005F1BD4"/>
    <w:rsid w:val="00605E3E"/>
    <w:rsid w:val="00606DA9"/>
    <w:rsid w:val="00611566"/>
    <w:rsid w:val="00611D47"/>
    <w:rsid w:val="006327AD"/>
    <w:rsid w:val="006538D4"/>
    <w:rsid w:val="00656E1E"/>
    <w:rsid w:val="006604E4"/>
    <w:rsid w:val="0067782C"/>
    <w:rsid w:val="006B36A5"/>
    <w:rsid w:val="006B3E5D"/>
    <w:rsid w:val="006C39C2"/>
    <w:rsid w:val="006C54B5"/>
    <w:rsid w:val="006D1E24"/>
    <w:rsid w:val="00702BDF"/>
    <w:rsid w:val="00702EF4"/>
    <w:rsid w:val="007121C5"/>
    <w:rsid w:val="00734A5B"/>
    <w:rsid w:val="00741EC5"/>
    <w:rsid w:val="00743525"/>
    <w:rsid w:val="00744E76"/>
    <w:rsid w:val="007476DB"/>
    <w:rsid w:val="00750847"/>
    <w:rsid w:val="00752C31"/>
    <w:rsid w:val="00756B13"/>
    <w:rsid w:val="00757D40"/>
    <w:rsid w:val="00767CDA"/>
    <w:rsid w:val="0077054F"/>
    <w:rsid w:val="00774846"/>
    <w:rsid w:val="00781F0F"/>
    <w:rsid w:val="0078727C"/>
    <w:rsid w:val="00797225"/>
    <w:rsid w:val="00797D4B"/>
    <w:rsid w:val="007C095F"/>
    <w:rsid w:val="007C36EF"/>
    <w:rsid w:val="007D5902"/>
    <w:rsid w:val="007F2676"/>
    <w:rsid w:val="007F3F5F"/>
    <w:rsid w:val="00800963"/>
    <w:rsid w:val="00802106"/>
    <w:rsid w:val="008028A4"/>
    <w:rsid w:val="00806520"/>
    <w:rsid w:val="008223CA"/>
    <w:rsid w:val="00830106"/>
    <w:rsid w:val="00840916"/>
    <w:rsid w:val="008415DA"/>
    <w:rsid w:val="00853EDD"/>
    <w:rsid w:val="008604EE"/>
    <w:rsid w:val="00862240"/>
    <w:rsid w:val="00865B05"/>
    <w:rsid w:val="0087401D"/>
    <w:rsid w:val="008768CA"/>
    <w:rsid w:val="00880559"/>
    <w:rsid w:val="00882197"/>
    <w:rsid w:val="008975A9"/>
    <w:rsid w:val="008A79DE"/>
    <w:rsid w:val="008C2835"/>
    <w:rsid w:val="008C490B"/>
    <w:rsid w:val="008F7BA6"/>
    <w:rsid w:val="0090271F"/>
    <w:rsid w:val="00903D8C"/>
    <w:rsid w:val="00904D26"/>
    <w:rsid w:val="00917051"/>
    <w:rsid w:val="009321BB"/>
    <w:rsid w:val="00941B5A"/>
    <w:rsid w:val="00942EC2"/>
    <w:rsid w:val="009518E0"/>
    <w:rsid w:val="00952D8F"/>
    <w:rsid w:val="00954BCB"/>
    <w:rsid w:val="00961B32"/>
    <w:rsid w:val="00971683"/>
    <w:rsid w:val="00972FD7"/>
    <w:rsid w:val="00974BB0"/>
    <w:rsid w:val="00981A36"/>
    <w:rsid w:val="00990501"/>
    <w:rsid w:val="009A081F"/>
    <w:rsid w:val="009A6E4F"/>
    <w:rsid w:val="009B4F59"/>
    <w:rsid w:val="009C4D5C"/>
    <w:rsid w:val="009D0A28"/>
    <w:rsid w:val="009F3B54"/>
    <w:rsid w:val="009F75AB"/>
    <w:rsid w:val="009F7E6E"/>
    <w:rsid w:val="00A10F02"/>
    <w:rsid w:val="00A16411"/>
    <w:rsid w:val="00A2199E"/>
    <w:rsid w:val="00A30B98"/>
    <w:rsid w:val="00A31288"/>
    <w:rsid w:val="00A53724"/>
    <w:rsid w:val="00A61FEF"/>
    <w:rsid w:val="00A64C87"/>
    <w:rsid w:val="00A82346"/>
    <w:rsid w:val="00A8361A"/>
    <w:rsid w:val="00A8557C"/>
    <w:rsid w:val="00A9671C"/>
    <w:rsid w:val="00AA672B"/>
    <w:rsid w:val="00AB6AAB"/>
    <w:rsid w:val="00AC3663"/>
    <w:rsid w:val="00AD4BCF"/>
    <w:rsid w:val="00AF2519"/>
    <w:rsid w:val="00AF4A8E"/>
    <w:rsid w:val="00AF78D5"/>
    <w:rsid w:val="00B1063A"/>
    <w:rsid w:val="00B15449"/>
    <w:rsid w:val="00B22A1F"/>
    <w:rsid w:val="00B41851"/>
    <w:rsid w:val="00B502AA"/>
    <w:rsid w:val="00B503D9"/>
    <w:rsid w:val="00B550AA"/>
    <w:rsid w:val="00B6745D"/>
    <w:rsid w:val="00B9781E"/>
    <w:rsid w:val="00BA6755"/>
    <w:rsid w:val="00BB17EC"/>
    <w:rsid w:val="00BD631D"/>
    <w:rsid w:val="00BF768D"/>
    <w:rsid w:val="00BF79F1"/>
    <w:rsid w:val="00C03035"/>
    <w:rsid w:val="00C23BE1"/>
    <w:rsid w:val="00C275BC"/>
    <w:rsid w:val="00C33079"/>
    <w:rsid w:val="00C365F1"/>
    <w:rsid w:val="00C43B31"/>
    <w:rsid w:val="00C43EAD"/>
    <w:rsid w:val="00C50536"/>
    <w:rsid w:val="00C55EB7"/>
    <w:rsid w:val="00C671C2"/>
    <w:rsid w:val="00C866E9"/>
    <w:rsid w:val="00C95C04"/>
    <w:rsid w:val="00CA276C"/>
    <w:rsid w:val="00CA3D0C"/>
    <w:rsid w:val="00CB6651"/>
    <w:rsid w:val="00CB6887"/>
    <w:rsid w:val="00CC64B4"/>
    <w:rsid w:val="00CD4C7B"/>
    <w:rsid w:val="00D22038"/>
    <w:rsid w:val="00D23014"/>
    <w:rsid w:val="00D45717"/>
    <w:rsid w:val="00D738D6"/>
    <w:rsid w:val="00D764AE"/>
    <w:rsid w:val="00D80795"/>
    <w:rsid w:val="00D87E00"/>
    <w:rsid w:val="00D908B4"/>
    <w:rsid w:val="00D90D48"/>
    <w:rsid w:val="00D9134D"/>
    <w:rsid w:val="00D9355A"/>
    <w:rsid w:val="00D97CD9"/>
    <w:rsid w:val="00DA5329"/>
    <w:rsid w:val="00DA7A03"/>
    <w:rsid w:val="00DB1818"/>
    <w:rsid w:val="00DB4619"/>
    <w:rsid w:val="00DC1445"/>
    <w:rsid w:val="00DC309B"/>
    <w:rsid w:val="00DC4DA2"/>
    <w:rsid w:val="00DC6AFC"/>
    <w:rsid w:val="00DC74C1"/>
    <w:rsid w:val="00DD2706"/>
    <w:rsid w:val="00DD41D3"/>
    <w:rsid w:val="00DE1406"/>
    <w:rsid w:val="00E07838"/>
    <w:rsid w:val="00E305A4"/>
    <w:rsid w:val="00E31392"/>
    <w:rsid w:val="00E340BC"/>
    <w:rsid w:val="00E51F8B"/>
    <w:rsid w:val="00E62835"/>
    <w:rsid w:val="00E71097"/>
    <w:rsid w:val="00E76A64"/>
    <w:rsid w:val="00E77645"/>
    <w:rsid w:val="00E852FF"/>
    <w:rsid w:val="00E90ABE"/>
    <w:rsid w:val="00EA1D56"/>
    <w:rsid w:val="00EA22F8"/>
    <w:rsid w:val="00EC4A25"/>
    <w:rsid w:val="00ED0D91"/>
    <w:rsid w:val="00ED1751"/>
    <w:rsid w:val="00ED7F72"/>
    <w:rsid w:val="00EE022B"/>
    <w:rsid w:val="00EE0A1E"/>
    <w:rsid w:val="00EF2DFA"/>
    <w:rsid w:val="00EF414A"/>
    <w:rsid w:val="00EF47CB"/>
    <w:rsid w:val="00F025A2"/>
    <w:rsid w:val="00F2026E"/>
    <w:rsid w:val="00F20BF4"/>
    <w:rsid w:val="00F2210A"/>
    <w:rsid w:val="00F37743"/>
    <w:rsid w:val="00F42AA0"/>
    <w:rsid w:val="00F52DB4"/>
    <w:rsid w:val="00F54114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customStyle="1" w:styleId="maintext">
    <w:name w:val="main text"/>
    <w:basedOn w:val="a"/>
    <w:link w:val="maintextChar"/>
    <w:qFormat/>
    <w:rsid w:val="0007304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073043"/>
    <w:rPr>
      <w:rFonts w:eastAsia="Malgun Gothic" w:cs="Batang"/>
      <w:lang w:val="en-GB" w:eastAsia="ko-KR"/>
    </w:rPr>
  </w:style>
  <w:style w:type="character" w:customStyle="1" w:styleId="B1Char1">
    <w:name w:val="B1 Char1"/>
    <w:rsid w:val="00DB4619"/>
    <w:rPr>
      <w:rFonts w:ascii="Arial" w:hAnsi="Arial"/>
      <w:lang w:val="en-GB" w:eastAsia="en-US"/>
    </w:rPr>
  </w:style>
  <w:style w:type="table" w:styleId="ab">
    <w:name w:val="Table Grid"/>
    <w:basedOn w:val="a1"/>
    <w:rsid w:val="005160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17694-CC06-4868-B15C-DCB24059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1498</Words>
  <Characters>8541</Characters>
  <Application>Microsoft Office Word</Application>
  <DocSecurity>0</DocSecurity>
  <Lines>71</Lines>
  <Paragraphs>20</Paragraphs>
  <ScaleCrop>false</ScaleCrop>
  <Company/>
  <LinksUpToDate>false</LinksUpToDate>
  <CharactersWithSpaces>10019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2022-09-28T04:13:00Z</dcterms:created>
  <dcterms:modified xsi:type="dcterms:W3CDTF">2022-09-28T07:33:00Z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